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left"/>
      </w:pPr>
      <w:r>
        <w:rPr>
          <w:rFonts w:ascii="Aptos" w:hAnsi="Aptos"/>
          <w:b/>
          <w:color w:val="1267EA"/>
          <w:sz w:val="18"/>
        </w:rPr>
        <w:t>PRACTICAL GUIDE</w:t>
      </w:r>
    </w:p>
    <w:p>
      <w:pPr>
        <w:spacing w:after="120"/>
      </w:pPr>
      <w:r>
        <w:rPr>
          <w:rFonts w:ascii="Aptos" w:hAnsi="Aptos"/>
          <w:b/>
          <w:color w:val="071A35"/>
          <w:sz w:val="50"/>
        </w:rPr>
        <w:t>AI Use Case Prioritization Guide</w:t>
      </w:r>
    </w:p>
    <w:p>
      <w:r>
        <w:rPr>
          <w:rFonts w:ascii="Aptos" w:hAnsi="Aptos"/>
          <w:b w:val="0"/>
          <w:color w:val="5E6D82"/>
          <w:sz w:val="23"/>
        </w:rPr>
        <w:t>For teams comparing several ai opportunities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7488"/>
      </w:tblGrid>
      <w:tr>
        <w:tc>
          <w:tcPr>
            <w:tcW w:type="dxa" w:w="4680"/>
            <w:shd w:fill="EAF2FF"/>
            <w:vAlign w:val="center"/>
          </w:tcPr>
          <w:p>
            <w:r>
              <w:rPr>
                <w:rFonts w:ascii="Aptos" w:hAnsi="Aptos"/>
                <w:b/>
                <w:color w:val="1267EA"/>
                <w:sz w:val="18"/>
              </w:rPr>
              <w:t>HOW TO USE</w:t>
            </w:r>
          </w:p>
        </w:tc>
        <w:tc>
          <w:tcPr>
            <w:tcW w:type="dxa" w:w="4680"/>
            <w:shd w:fill="F7F9FC"/>
            <w:vAlign w:val="center"/>
          </w:tcPr>
          <w:p>
            <w:r>
              <w:rPr>
                <w:rFonts w:ascii="Aptos" w:hAnsi="Aptos"/>
                <w:b w:val="0"/>
                <w:color w:val="071A35"/>
                <w:sz w:val="19"/>
              </w:rPr>
              <w:t>Work through the sections in order. Record decisions, owners, evidence, and open questions as you go.</w:t>
            </w:r>
          </w:p>
        </w:tc>
      </w:tr>
    </w:tbl>
    <w:p>
      <w:pPr>
        <w:pStyle w:val="Heading1"/>
      </w:pPr>
      <w:r>
        <w:t>In plain words</w:t>
      </w:r>
    </w:p>
    <w:p>
      <w:r>
        <w:t>Rank candidate use cases by value, feasibility, evidence, risk, and time to useful proof.</w:t>
      </w:r>
    </w:p>
    <w:p>
      <w:r>
        <w:t>This document is for teams comparing several ai opportunities. It is designed to help someone make a clear decision, not to create unnecessary process.</w:t>
      </w:r>
    </w:p>
    <w:p>
      <w:pPr>
        <w:pStyle w:val="Heading1"/>
      </w:pPr>
      <w:r>
        <w:t>What you need</w:t>
      </w:r>
    </w:p>
    <w:p>
      <w:pPr>
        <w:pStyle w:val="ListBullet"/>
        <w:spacing w:after="80"/>
        <w:ind w:left="540" w:hanging="271"/>
      </w:pPr>
      <w:r>
        <w:t>Candidate use cases</w:t>
      </w:r>
    </w:p>
    <w:p>
      <w:pPr>
        <w:pStyle w:val="ListBullet"/>
        <w:spacing w:after="80"/>
        <w:ind w:left="540" w:hanging="271"/>
      </w:pPr>
      <w:r>
        <w:t>Business baselines</w:t>
      </w:r>
    </w:p>
    <w:p>
      <w:pPr>
        <w:pStyle w:val="ListBullet"/>
        <w:spacing w:after="80"/>
        <w:ind w:left="540" w:hanging="271"/>
      </w:pPr>
      <w:r>
        <w:t>Known constraints</w:t>
      </w:r>
    </w:p>
    <w:p>
      <w:pPr>
        <w:pStyle w:val="Heading1"/>
      </w:pPr>
      <w:r>
        <w:t>What to do</w:t>
      </w:r>
    </w:p>
    <w:p>
      <w:pPr>
        <w:pStyle w:val="ListNumber"/>
        <w:spacing w:after="80"/>
        <w:ind w:left="540" w:hanging="271"/>
      </w:pPr>
      <w:r>
        <w:t>Score value and feasibility.</w:t>
      </w:r>
    </w:p>
    <w:p>
      <w:pPr>
        <w:pStyle w:val="ListNumber"/>
        <w:spacing w:after="80"/>
        <w:ind w:left="540" w:hanging="271"/>
      </w:pPr>
      <w:r>
        <w:t>Apply risk and evidence gates.</w:t>
      </w:r>
    </w:p>
    <w:p>
      <w:pPr>
        <w:pStyle w:val="ListNumber"/>
        <w:spacing w:after="80"/>
        <w:ind w:left="540" w:hanging="271"/>
      </w:pPr>
      <w:r>
        <w:t>Select a focused first use case.</w:t>
      </w:r>
    </w:p>
    <w:p>
      <w:pPr>
        <w:pStyle w:val="Heading1"/>
      </w:pPr>
      <w:r>
        <w:t>What good looks like</w:t>
      </w:r>
    </w:p>
    <w:p>
      <w:pPr>
        <w:pStyle w:val="ListBullet"/>
        <w:spacing w:after="80"/>
        <w:ind w:left="540" w:hanging="271"/>
      </w:pPr>
      <w:r>
        <w:t>The intended outcome is written in plain language.</w:t>
      </w:r>
    </w:p>
    <w:p>
      <w:pPr>
        <w:pStyle w:val="ListBullet"/>
        <w:spacing w:after="80"/>
        <w:ind w:left="540" w:hanging="271"/>
      </w:pPr>
      <w:r>
        <w:t>One person owns the decision and the next action.</w:t>
      </w:r>
    </w:p>
    <w:p>
      <w:pPr>
        <w:pStyle w:val="ListBullet"/>
        <w:spacing w:after="80"/>
        <w:ind w:left="540" w:hanging="271"/>
      </w:pPr>
      <w:r>
        <w:t>Inputs, exclusions, and data boundaries are explicit.</w:t>
      </w:r>
    </w:p>
    <w:p>
      <w:pPr>
        <w:pStyle w:val="ListBullet"/>
        <w:spacing w:after="80"/>
        <w:ind w:left="540" w:hanging="271"/>
      </w:pPr>
      <w:r>
        <w:t>Evidence is reviewed before the work expands.</w:t>
      </w:r>
    </w:p>
    <w:p>
      <w:pPr>
        <w:pStyle w:val="Heading1"/>
      </w:pPr>
      <w:r>
        <w:t>What this does not promise</w:t>
      </w:r>
    </w:p>
    <w:p>
      <w:r>
        <w:t>This document does not guarantee a business result, replace legal or regulatory advice, or approve production use. Final scope, controls, and acceptance criteria must reflect the actual organization and workflow.</w:t>
      </w:r>
    </w:p>
    <w:p>
      <w:pPr>
        <w:pStyle w:val="Heading1"/>
      </w:pPr>
      <w:r>
        <w:t>Working notes</w:t>
      </w:r>
    </w:p>
    <w:p>
      <w:r>
        <w:rPr>
          <w:rFonts w:ascii="Aptos" w:hAnsi="Aptos"/>
          <w:b/>
          <w:color w:val="071A35"/>
          <w:sz w:val="20"/>
        </w:rPr>
        <w:t xml:space="preserve">Decision: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Owner: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Evidence: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Next action: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5E6D82"/>
        <w:sz w:val="16"/>
      </w:rPr>
      <w:t>Noemergis • Review before applying to a live environment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5E6D82"/>
        <w:sz w:val="17"/>
      </w:rPr>
      <w:t>NOEMERGIS  |  PRACTICAL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071A3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1267E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1267E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267E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