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00"/>
        <w:jc w:val="left"/>
      </w:pPr>
      <w:r>
        <w:rPr>
          <w:rFonts w:ascii="Aptos" w:hAnsi="Aptos"/>
          <w:b/>
          <w:color w:val="1267EA"/>
          <w:sz w:val="18"/>
        </w:rPr>
        <w:t>PRACTICAL GUIDE</w:t>
      </w:r>
    </w:p>
    <w:p>
      <w:pPr>
        <w:spacing w:after="120"/>
      </w:pPr>
      <w:r>
        <w:rPr>
          <w:rFonts w:ascii="Aptos" w:hAnsi="Aptos"/>
          <w:b/>
          <w:color w:val="071A35"/>
          <w:sz w:val="50"/>
        </w:rPr>
        <w:t>Data Governance Framework Template</w:t>
      </w:r>
    </w:p>
    <w:p>
      <w:r>
        <w:rPr>
          <w:rFonts w:ascii="Aptos" w:hAnsi="Aptos"/>
          <w:b w:val="0"/>
          <w:color w:val="5E6D82"/>
          <w:sz w:val="23"/>
        </w:rPr>
        <w:t>For teams defining governance for a product or pilot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1872"/>
        <w:gridCol w:w="7488"/>
      </w:tblGrid>
      <w:tr>
        <w:tc>
          <w:tcPr>
            <w:tcW w:type="dxa" w:w="4680"/>
            <w:shd w:fill="EAF2FF"/>
            <w:vAlign w:val="center"/>
          </w:tcPr>
          <w:p>
            <w:r>
              <w:rPr>
                <w:rFonts w:ascii="Aptos" w:hAnsi="Aptos"/>
                <w:b/>
                <w:color w:val="1267EA"/>
                <w:sz w:val="18"/>
              </w:rPr>
              <w:t>HOW TO USE</w:t>
            </w:r>
          </w:p>
        </w:tc>
        <w:tc>
          <w:tcPr>
            <w:tcW w:type="dxa" w:w="4680"/>
            <w:shd w:fill="F7F9FC"/>
            <w:vAlign w:val="center"/>
          </w:tcPr>
          <w:p>
            <w:r>
              <w:rPr>
                <w:rFonts w:ascii="Aptos" w:hAnsi="Aptos"/>
                <w:b w:val="0"/>
                <w:color w:val="071A35"/>
                <w:sz w:val="19"/>
              </w:rPr>
              <w:t>Work through the sections in order. Record decisions, owners, evidence, and open questions as you go.</w:t>
            </w:r>
          </w:p>
        </w:tc>
      </w:tr>
    </w:tbl>
    <w:p>
      <w:pPr>
        <w:pStyle w:val="Heading1"/>
      </w:pPr>
      <w:r>
        <w:t>In plain words</w:t>
      </w:r>
    </w:p>
    <w:p>
      <w:r>
        <w:t>Provide a fill-in framework for ownership, access, quality, retention, and review.</w:t>
      </w:r>
    </w:p>
    <w:p>
      <w:r>
        <w:t>This document is for teams defining governance for a product or pilot. It is designed to help someone make a clear decision, not to create unnecessary process.</w:t>
      </w:r>
    </w:p>
    <w:p>
      <w:pPr>
        <w:pStyle w:val="Heading1"/>
      </w:pPr>
      <w:r>
        <w:t>What you need</w:t>
      </w:r>
    </w:p>
    <w:p>
      <w:pPr>
        <w:pStyle w:val="ListBullet"/>
        <w:spacing w:after="80"/>
        <w:ind w:left="540" w:hanging="271"/>
      </w:pPr>
      <w:r>
        <w:t>Systems and data classes</w:t>
      </w:r>
    </w:p>
    <w:p>
      <w:pPr>
        <w:pStyle w:val="ListBullet"/>
        <w:spacing w:after="80"/>
        <w:ind w:left="540" w:hanging="271"/>
      </w:pPr>
      <w:r>
        <w:t>Business and technical owners</w:t>
      </w:r>
    </w:p>
    <w:p>
      <w:pPr>
        <w:pStyle w:val="ListBullet"/>
        <w:spacing w:after="80"/>
        <w:ind w:left="540" w:hanging="271"/>
      </w:pPr>
      <w:r>
        <w:t>Legal or policy requirements</w:t>
      </w:r>
    </w:p>
    <w:p>
      <w:pPr>
        <w:pStyle w:val="Heading1"/>
      </w:pPr>
      <w:r>
        <w:t>What to do</w:t>
      </w:r>
    </w:p>
    <w:p>
      <w:pPr>
        <w:pStyle w:val="ListNumber"/>
        <w:spacing w:after="80"/>
        <w:ind w:left="540" w:hanging="271"/>
      </w:pPr>
      <w:r>
        <w:t>Assign ownership.</w:t>
      </w:r>
    </w:p>
    <w:p>
      <w:pPr>
        <w:pStyle w:val="ListNumber"/>
        <w:spacing w:after="80"/>
        <w:ind w:left="540" w:hanging="271"/>
      </w:pPr>
      <w:r>
        <w:t>Define access and lifecycle rules.</w:t>
      </w:r>
    </w:p>
    <w:p>
      <w:pPr>
        <w:pStyle w:val="ListNumber"/>
        <w:spacing w:after="80"/>
        <w:ind w:left="540" w:hanging="271"/>
      </w:pPr>
      <w:r>
        <w:t>Set review evidence and cadence.</w:t>
      </w:r>
    </w:p>
    <w:p>
      <w:pPr>
        <w:pStyle w:val="Heading1"/>
      </w:pPr>
      <w:r>
        <w:t>What good looks like</w:t>
      </w:r>
    </w:p>
    <w:p>
      <w:pPr>
        <w:pStyle w:val="ListBullet"/>
        <w:spacing w:after="80"/>
        <w:ind w:left="540" w:hanging="271"/>
      </w:pPr>
      <w:r>
        <w:t>The intended outcome is written in plain language.</w:t>
      </w:r>
    </w:p>
    <w:p>
      <w:pPr>
        <w:pStyle w:val="ListBullet"/>
        <w:spacing w:after="80"/>
        <w:ind w:left="540" w:hanging="271"/>
      </w:pPr>
      <w:r>
        <w:t>One person owns the decision and the next action.</w:t>
      </w:r>
    </w:p>
    <w:p>
      <w:pPr>
        <w:pStyle w:val="ListBullet"/>
        <w:spacing w:after="80"/>
        <w:ind w:left="540" w:hanging="271"/>
      </w:pPr>
      <w:r>
        <w:t>Inputs, exclusions, and data boundaries are explicit.</w:t>
      </w:r>
    </w:p>
    <w:p>
      <w:pPr>
        <w:pStyle w:val="ListBullet"/>
        <w:spacing w:after="80"/>
        <w:ind w:left="540" w:hanging="271"/>
      </w:pPr>
      <w:r>
        <w:t>Evidence is reviewed before the work expands.</w:t>
      </w:r>
    </w:p>
    <w:p>
      <w:pPr>
        <w:pStyle w:val="Heading1"/>
      </w:pPr>
      <w:r>
        <w:t>What this does not promise</w:t>
      </w:r>
    </w:p>
    <w:p>
      <w:r>
        <w:t>This document does not guarantee a business result, replace legal or regulatory advice, or approve production use. Final scope, controls, and acceptance criteria must reflect the actual organization and workflow.</w:t>
      </w:r>
    </w:p>
    <w:p>
      <w:pPr>
        <w:pStyle w:val="Heading1"/>
      </w:pPr>
      <w:r>
        <w:t>Working notes</w:t>
      </w:r>
    </w:p>
    <w:p>
      <w:r>
        <w:rPr>
          <w:rFonts w:ascii="Aptos" w:hAnsi="Aptos"/>
          <w:b/>
          <w:color w:val="071A35"/>
          <w:sz w:val="20"/>
        </w:rPr>
        <w:t xml:space="preserve">Decision: </w:t>
      </w:r>
      <w:r>
        <w:rPr>
          <w:rFonts w:ascii="Aptos" w:hAnsi="Aptos"/>
          <w:b w:val="0"/>
          <w:color w:val="5E6D82"/>
          <w:sz w:val="20"/>
        </w:rPr>
        <w:t>____________________________________________________________</w:t>
      </w:r>
    </w:p>
    <w:p>
      <w:r>
        <w:rPr>
          <w:rFonts w:ascii="Aptos" w:hAnsi="Aptos"/>
          <w:b/>
          <w:color w:val="071A35"/>
          <w:sz w:val="20"/>
        </w:rPr>
        <w:t xml:space="preserve">Owner: </w:t>
      </w:r>
      <w:r>
        <w:rPr>
          <w:rFonts w:ascii="Aptos" w:hAnsi="Aptos"/>
          <w:b w:val="0"/>
          <w:color w:val="5E6D82"/>
          <w:sz w:val="20"/>
        </w:rPr>
        <w:t>____________________________________________________________</w:t>
      </w:r>
    </w:p>
    <w:p>
      <w:r>
        <w:rPr>
          <w:rFonts w:ascii="Aptos" w:hAnsi="Aptos"/>
          <w:b/>
          <w:color w:val="071A35"/>
          <w:sz w:val="20"/>
        </w:rPr>
        <w:t xml:space="preserve">Evidence: </w:t>
      </w:r>
      <w:r>
        <w:rPr>
          <w:rFonts w:ascii="Aptos" w:hAnsi="Aptos"/>
          <w:b w:val="0"/>
          <w:color w:val="5E6D82"/>
          <w:sz w:val="20"/>
        </w:rPr>
        <w:t>____________________________________________________________</w:t>
      </w:r>
    </w:p>
    <w:p>
      <w:r>
        <w:rPr>
          <w:rFonts w:ascii="Aptos" w:hAnsi="Aptos"/>
          <w:b/>
          <w:color w:val="071A35"/>
          <w:sz w:val="20"/>
        </w:rPr>
        <w:t xml:space="preserve">Next action: </w:t>
      </w:r>
      <w:r>
        <w:rPr>
          <w:rFonts w:ascii="Aptos" w:hAnsi="Aptos"/>
          <w:b w:val="0"/>
          <w:color w:val="5E6D82"/>
          <w:sz w:val="20"/>
        </w:rPr>
        <w:t>____________________________________________________________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b w:val="0"/>
        <w:color w:val="5E6D82"/>
        <w:sz w:val="16"/>
      </w:rPr>
      <w:t>Noemergis • Review before applying to a live environment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Aptos" w:hAnsi="Aptos"/>
        <w:b/>
        <w:color w:val="5E6D82"/>
        <w:sz w:val="17"/>
      </w:rPr>
      <w:t>NOEMERGIS  |  PRACTICAL RESOURCE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Aptos" w:hAnsi="Aptos"/>
      <w:color w:val="071A35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Aptos" w:hAnsi="Aptos"/>
      <w:b/>
      <w:bCs/>
      <w:color w:val="1267EA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Aptos" w:hAnsi="Aptos"/>
      <w:b/>
      <w:bCs/>
      <w:color w:val="1267EA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Aptos" w:hAnsi="Aptos"/>
      <w:b/>
      <w:bCs/>
      <w:color w:val="1267E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